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A4" w:rsidRDefault="0005726A" w:rsidP="0005726A">
      <w:pPr>
        <w:jc w:val="center"/>
        <w:rPr>
          <w:lang w:val="en-US"/>
        </w:rPr>
      </w:pPr>
      <w:r w:rsidRPr="0005726A">
        <w:t>Kruīze Tallina-Helsinki-Stokholma (2016)</w:t>
      </w:r>
    </w:p>
    <w:p w:rsidR="0005726A" w:rsidRDefault="0005726A" w:rsidP="0005726A">
      <w:pPr>
        <w:jc w:val="center"/>
        <w:rPr>
          <w:lang w:val="en-US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85"/>
      </w:tblGrid>
      <w:tr w:rsidR="0005726A" w:rsidRPr="0005726A" w:rsidTr="0005726A">
        <w:trPr>
          <w:trHeight w:val="207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00" w:beforeAutospacing="1" w:after="100" w:afterAutospacing="1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30.01 - 01.02.2016</w:t>
            </w:r>
          </w:p>
        </w:tc>
      </w:tr>
      <w:tr w:rsidR="0005726A" w:rsidRPr="0005726A" w:rsidTr="0005726A">
        <w:trPr>
          <w:trHeight w:val="215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00" w:beforeAutospacing="1" w:after="100" w:afterAutospacing="1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13.02 - 15.02.2016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26.03 - 28.03.2016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16.04 - 18.04.2016 </w:t>
            </w:r>
          </w:p>
        </w:tc>
      </w:tr>
      <w:tr w:rsidR="0005726A" w:rsidRPr="0005726A" w:rsidTr="0005726A">
        <w:trPr>
          <w:trHeight w:val="381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30.04 - 02.05.2016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28.05 - 30.05.2016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18.06 - 20.06.2016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22.06 - 24.06.2016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16.07 - 18.07.2016 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06.08 - 08.08.2016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20.08 - 22.08.2016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10.09 - 12.09.2016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24.09 - 26.09.2016 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15.10 - 17.10.2016 </w:t>
            </w:r>
          </w:p>
        </w:tc>
      </w:tr>
      <w:tr w:rsidR="0005726A" w:rsidRPr="0005726A" w:rsidTr="0005726A">
        <w:trPr>
          <w:trHeight w:val="389"/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9FAFC"/>
            <w:vAlign w:val="center"/>
            <w:hideMark/>
          </w:tcPr>
          <w:p w:rsidR="0005726A" w:rsidRPr="0005726A" w:rsidRDefault="0005726A" w:rsidP="0005726A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5726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19.11 - 21.11.2016</w:t>
            </w:r>
          </w:p>
        </w:tc>
      </w:tr>
    </w:tbl>
    <w:p w:rsidR="0005726A" w:rsidRDefault="0005726A" w:rsidP="0005726A">
      <w:pPr>
        <w:jc w:val="center"/>
        <w:rPr>
          <w:lang w:val="en-US"/>
        </w:rPr>
      </w:pPr>
    </w:p>
    <w:p w:rsid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 APRAKSTS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1. DIENA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gram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~ 00.30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došanās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Tallinu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Ierašanās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ostā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uzkāpšana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prāmja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8.00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Došanās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Helsinkiem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Viking Line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prāmi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gram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10.30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ierašanās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Helsinkos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proofErr w:type="gram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pilsētā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Helsinki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savu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krāšņumu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iedzīvotājus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viesus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priecē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jau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kopš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16. </w:t>
      </w: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gadsimta</w:t>
      </w:r>
      <w:proofErr w:type="spellEnd"/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Šeit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Tev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būs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apskatīt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tās</w:t>
      </w:r>
      <w:proofErr w:type="spellEnd"/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daudzās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ostas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slaveno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tirgu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Kaupatorri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iespējams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iegādāties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kažokādu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izstrādājumus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suvenīrus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briežu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ragiem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arī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protams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slavenos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somu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nažus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Šeit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varēsi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redzēt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arī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vecāko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tirgu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Helsingfors-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Kaupahalli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varēsi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nogaršot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ne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tikai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daudzveidīgas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zivju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delikateses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bet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arī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lāča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brieža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gaļu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turpināsies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garām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esplanādei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vietējo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iedzīvotāju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Somijas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galvaspilsētas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viesu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iecienītākai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pastaigu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vietai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Tev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būs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iepazīties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pieminekļiem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veltīti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tādām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Somijai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lastRenderedPageBreak/>
        <w:t>Helsinkiem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nozīmīgām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personībām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Janam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Sibeliusam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Aleksandram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2.,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senatoram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Mišelinam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Snelmanam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daudziem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citiem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Tev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būs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savām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acīm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skatīt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Somijas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galvaspilsētas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unikālo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arhitektūru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slaveno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Senāta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laukuma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ansambli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izstāžu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zāli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„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Somija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”,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slaveno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baznīcu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kalnos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Brīvajā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varēsi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apmeklēt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7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jūru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muzeju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„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Jūras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dzīve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”,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naudas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muzeju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lielākajām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Ziemeļeiropas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pareizticīgo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baznīcām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Brīvais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laiks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Ierašanās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kruīza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br/>
        <w:t xml:space="preserve">17. 30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Došanās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Stokholmu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Atpūta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prāmja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Nakts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prāmja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2. DIENA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 ~ 10.00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ierašanās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Stokholmā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Mantas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droši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varēsi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atstāt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jo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atpakaļceļš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tiks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mērots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tieši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šajās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pašās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Pārgājiena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Stokholmā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Iepazīšana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sāksies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Vecpilsētu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pastaiga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senatnīgajām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ieliņām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karaļa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lielākajām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karaļa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rezidencēm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Eiropā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pašlaik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arī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darbojas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), bet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brīvajā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Tev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būs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sagādāt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suvenīrus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mājiniekiem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apbrīnot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unikālo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zviedru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virtuvi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daudzajās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kafejnīcās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restorānos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arī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aplūkot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goda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sardzes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nomaiņu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pie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Tev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arī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būs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doties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muzeju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(Vasa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kuģis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lielākajiem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dārgākajiem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16.gadsimta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kurš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noslīka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sava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pirmā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sākumā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ūdens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pavadījis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apmēram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300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gadus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).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16.30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došanās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Helsinkiem</w:t>
      </w:r>
      <w:proofErr w:type="spellEnd"/>
    </w:p>
    <w:p w:rsid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3. DIENA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~ 10.00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ierašanās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Helsinkos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gram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11.30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došanās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Tallinu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prāmi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gram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14.00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ierašanās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Tallinā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Pārgājienu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Vecpilsētu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iekļauta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pasaules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UNESCO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mantojumā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: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šauras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autentiskas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ieliņas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iespaidīgs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mūris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aizsargtorņi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Resnā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Margarita,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Garais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Hermanis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Rātsnams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ģildes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pilnas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Viduslaiku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garu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padara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Veco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Tallinu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unikālu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visiem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senatnes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cienītājiem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Brīvais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laiks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Ceļš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Rīgu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Agriešanās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Rīgā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vakarā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Ceļojuma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cenā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iekļauts</w:t>
      </w:r>
      <w:proofErr w:type="spellEnd"/>
      <w:proofErr w:type="gram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: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tūrisma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autobusā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(visa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garumā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)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Grupas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vadītāja-gida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pakalpojumi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latviešu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krievu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valodā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)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prāmja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4-vietīgā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"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С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4"uz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prāmja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Viking Line Helsinki-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Stokholma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-Helsinki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prāmja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Tallina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-Helsinki-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Tallina</w:t>
      </w:r>
      <w:proofErr w:type="spellEnd"/>
    </w:p>
    <w:p w:rsidR="0005726A" w:rsidRPr="0005726A" w:rsidRDefault="0005726A" w:rsidP="000572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26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#333" stroked="f"/>
        </w:pic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lastRenderedPageBreak/>
        <w:t>Ja Jūs ceļojat ar bērniem no 0-5,99 gadiem: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Ar nosacījumu ka bērns neaizņem papildus (atsevišķu) gultu – transporta nodeva, ekskursiju paketes un papildus ekskursijas ir bezmaksas.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Ja Jūs ceļojat ar bērnu vecumā no 6 līdz 11,99  gadiem: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Bērns saņem 50% atlaidi ekskursiju paketēm un papildus ekskursijām.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Ieejas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biļetes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objektos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citi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maksas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pakalpojumi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tiek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apmaksāti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 PAKALPOJUMI 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Ekskursiju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pakete</w:t>
      </w:r>
      <w:proofErr w:type="spell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 €</w:t>
      </w:r>
      <w:proofErr w:type="gramEnd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15: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Pastaigu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Tallinu</w:t>
      </w:r>
      <w:proofErr w:type="spell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Autobusa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Helsinkos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pastaigu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Stokholmā</w:t>
      </w:r>
      <w:proofErr w:type="spell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*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Grupas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vadītājs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tiesīgs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mainīt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mainīe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kārtību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bez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programmas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mainīšanas</w:t>
      </w:r>
      <w:proofErr w:type="spellEnd"/>
    </w:p>
    <w:p w:rsidR="0005726A" w:rsidRPr="0005726A" w:rsidRDefault="0005726A" w:rsidP="000572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26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noshade="t" o:hr="t" fillcolor="#333" stroked="f"/>
        </w:pic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Papildus ēdināšana: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Brokastis un vakariņas uz prāmja virzienā Helsinki-Stokholma-Helsinki(tiek pasūtīti uz prāmja)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</w: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Cena brokastim: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€ 10,50 -  pieaugušais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€ 6,50 - 12-17 gadi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€ 4,50 - 6-11 gadi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Bērniem līdz 6 gadiem bezmaksas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</w: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Cena vakariņām: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€ 36 -  pieaugušais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€ 12,50 -  12-17 gadi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€ 8,50 -  6-11 gadi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Bērniem līdz 6 gadiem bezmaksas</w:t>
      </w:r>
    </w:p>
    <w:p w:rsidR="0005726A" w:rsidRPr="0005726A" w:rsidRDefault="0005726A" w:rsidP="000572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26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noshade="t" o:hr="t" fillcolor="#333" stroked="f"/>
        </w:pic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Dzīvošana: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4-vietīga izmitināšana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Piemaksa par izmitināšanu 4-vietīgā «B» klases kajītē- € 10/cilv.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4-vietīgā «A»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€ 15/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3-vietīgā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izmitināšana</w:t>
      </w:r>
      <w:proofErr w:type="spell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3-vietīgā «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С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»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- € 10/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3-vietīgā «B»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- € 15/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3-vietīgā «A»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- € 20/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lastRenderedPageBreak/>
        <w:t xml:space="preserve">2-vietīgā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izmitināšana</w:t>
      </w:r>
      <w:proofErr w:type="spell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2-vietīgā «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С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»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€ 20/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2-vietīgā «B»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€ 25/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2-vietīgā «A»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€ 30/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1-vietīgā </w:t>
      </w:r>
      <w:proofErr w:type="spellStart"/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izmitināšana</w:t>
      </w:r>
      <w:proofErr w:type="spell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1-vietīgā «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С</w:t>
      </w: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»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€ 35/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1-vietīgā «B»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€ 45/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1-vietīgā «A»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€ 55/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05726A" w:rsidRPr="0005726A" w:rsidRDefault="0005726A" w:rsidP="000572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26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noshade="t" o:hr="t" fillcolor="#333" stroked="f"/>
        </w:pic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05726A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Papildus izmaksas pēc vēlēšanās: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-Veselības apdrošināšana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-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Ieeja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vietās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izklaides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pasākumos</w:t>
      </w:r>
      <w:proofErr w:type="spellEnd"/>
    </w:p>
    <w:p w:rsid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SVARĪGA INFORMACIJA</w:t>
      </w:r>
    </w:p>
    <w:p w:rsidR="0005726A" w:rsidRPr="0005726A" w:rsidRDefault="0005726A" w:rsidP="0005726A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bookmarkStart w:id="0" w:name="_GoBack"/>
      <w:bookmarkEnd w:id="0"/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Tūristu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datu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maiņu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reģistrēti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ceļojumam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iespējams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veikt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ne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vēlāk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5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darba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dienas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pirms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sškuma</w:t>
      </w:r>
      <w:proofErr w:type="spellEnd"/>
      <w:r w:rsidRPr="0005726A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05726A" w:rsidRPr="0005726A" w:rsidRDefault="0005726A" w:rsidP="0005726A">
      <w:pPr>
        <w:rPr>
          <w:lang w:val="en-US"/>
        </w:rPr>
      </w:pPr>
    </w:p>
    <w:sectPr w:rsidR="0005726A" w:rsidRPr="00057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6A"/>
    <w:rsid w:val="0005726A"/>
    <w:rsid w:val="00AE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05726A"/>
    <w:rPr>
      <w:b/>
      <w:bCs/>
    </w:rPr>
  </w:style>
  <w:style w:type="character" w:customStyle="1" w:styleId="apple-converted-space">
    <w:name w:val="apple-converted-space"/>
    <w:basedOn w:val="DefaultParagraphFont"/>
    <w:rsid w:val="00057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7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05726A"/>
    <w:rPr>
      <w:b/>
      <w:bCs/>
    </w:rPr>
  </w:style>
  <w:style w:type="character" w:customStyle="1" w:styleId="apple-converted-space">
    <w:name w:val="apple-converted-space"/>
    <w:basedOn w:val="DefaultParagraphFont"/>
    <w:rsid w:val="00057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8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Reception1</dc:creator>
  <cp:lastModifiedBy>Reception1</cp:lastModifiedBy>
  <cp:revision>1</cp:revision>
  <dcterms:created xsi:type="dcterms:W3CDTF">2016-01-06T12:34:00Z</dcterms:created>
  <dcterms:modified xsi:type="dcterms:W3CDTF">2016-01-06T12:39:00Z</dcterms:modified>
</cp:coreProperties>
</file>